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3488" w:rsidRPr="00364379" w:rsidRDefault="00E83488" w:rsidP="00E83488">
      <w:pPr>
        <w:jc w:val="center"/>
        <w:rPr>
          <w:rFonts w:eastAsia="標楷體"/>
          <w:b/>
          <w:bCs/>
          <w:sz w:val="28"/>
        </w:rPr>
      </w:pPr>
      <w:r w:rsidRPr="00364379">
        <w:rPr>
          <w:rFonts w:eastAsia="標楷體"/>
          <w:b/>
          <w:bCs/>
          <w:sz w:val="28"/>
        </w:rPr>
        <w:t>亞洲大學境外學生英語文能力加強班辦理要點</w:t>
      </w:r>
    </w:p>
    <w:p w:rsidR="00E83488" w:rsidRPr="00364379" w:rsidRDefault="00E83488" w:rsidP="00E83488">
      <w:pPr>
        <w:jc w:val="center"/>
        <w:rPr>
          <w:rFonts w:eastAsia="標楷體"/>
          <w:sz w:val="28"/>
        </w:rPr>
      </w:pPr>
      <w:r w:rsidRPr="00364379">
        <w:rPr>
          <w:rFonts w:eastAsia="標楷體"/>
          <w:sz w:val="28"/>
        </w:rPr>
        <w:t>Guidelines for International Students’ Intensive English Program</w:t>
      </w:r>
    </w:p>
    <w:p w:rsidR="00E83488" w:rsidRPr="00364379" w:rsidRDefault="00E83488" w:rsidP="002D2167">
      <w:pPr>
        <w:spacing w:line="300" w:lineRule="exact"/>
        <w:jc w:val="right"/>
        <w:rPr>
          <w:rFonts w:eastAsia="標楷體"/>
          <w:sz w:val="20"/>
          <w:szCs w:val="20"/>
        </w:rPr>
      </w:pPr>
      <w:r w:rsidRPr="00364379">
        <w:rPr>
          <w:rFonts w:eastAsia="標楷體"/>
          <w:sz w:val="20"/>
          <w:szCs w:val="20"/>
        </w:rPr>
        <w:t xml:space="preserve"> </w:t>
      </w:r>
      <w:r w:rsidR="00E011E4" w:rsidRPr="00364379">
        <w:rPr>
          <w:rFonts w:eastAsia="標楷體"/>
          <w:sz w:val="20"/>
          <w:szCs w:val="20"/>
        </w:rPr>
        <w:t>112.10.17 112</w:t>
      </w:r>
      <w:r w:rsidR="00E011E4" w:rsidRPr="00364379">
        <w:rPr>
          <w:rFonts w:eastAsia="標楷體"/>
          <w:sz w:val="20"/>
          <w:szCs w:val="20"/>
        </w:rPr>
        <w:t>學年度第</w:t>
      </w:r>
      <w:r w:rsidR="00E011E4" w:rsidRPr="00364379">
        <w:rPr>
          <w:rFonts w:eastAsia="標楷體"/>
          <w:sz w:val="20"/>
          <w:szCs w:val="20"/>
        </w:rPr>
        <w:t>4</w:t>
      </w:r>
      <w:r w:rsidR="00E011E4" w:rsidRPr="00364379">
        <w:rPr>
          <w:rFonts w:eastAsia="標楷體"/>
          <w:sz w:val="20"/>
          <w:szCs w:val="20"/>
        </w:rPr>
        <w:t>次行政會議修正後通過</w:t>
      </w:r>
    </w:p>
    <w:p w:rsidR="002D2167" w:rsidRPr="00364379" w:rsidRDefault="002D2167" w:rsidP="002D2167">
      <w:pPr>
        <w:spacing w:line="300" w:lineRule="exact"/>
        <w:jc w:val="right"/>
        <w:rPr>
          <w:rFonts w:eastAsia="標楷體"/>
          <w:sz w:val="20"/>
          <w:szCs w:val="20"/>
        </w:rPr>
      </w:pPr>
      <w:r w:rsidRPr="00364379">
        <w:rPr>
          <w:rFonts w:eastAsia="標楷體"/>
          <w:sz w:val="20"/>
          <w:szCs w:val="20"/>
        </w:rPr>
        <w:t xml:space="preserve">112.10.31 </w:t>
      </w:r>
      <w:r w:rsidRPr="00364379">
        <w:rPr>
          <w:rFonts w:eastAsia="標楷體"/>
          <w:sz w:val="20"/>
          <w:szCs w:val="20"/>
        </w:rPr>
        <w:t>亞洲秘字第</w:t>
      </w:r>
      <w:r w:rsidRPr="00364379">
        <w:rPr>
          <w:rFonts w:eastAsia="標楷體"/>
          <w:sz w:val="20"/>
          <w:szCs w:val="20"/>
        </w:rPr>
        <w:t>1120016330</w:t>
      </w:r>
      <w:r w:rsidRPr="00364379">
        <w:rPr>
          <w:rFonts w:eastAsia="標楷體"/>
          <w:sz w:val="20"/>
          <w:szCs w:val="20"/>
        </w:rPr>
        <w:t>號函發布</w:t>
      </w:r>
    </w:p>
    <w:p w:rsidR="00E83488" w:rsidRPr="00364379" w:rsidRDefault="00E83488" w:rsidP="00364379">
      <w:pPr>
        <w:ind w:left="480" w:hangingChars="200" w:hanging="480"/>
        <w:rPr>
          <w:rFonts w:eastAsia="標楷體"/>
        </w:rPr>
      </w:pPr>
      <w:r w:rsidRPr="00364379">
        <w:rPr>
          <w:rFonts w:eastAsia="標楷體"/>
        </w:rPr>
        <w:t>一、本校依據教育部</w:t>
      </w:r>
      <w:proofErr w:type="gramStart"/>
      <w:r w:rsidRPr="00364379">
        <w:rPr>
          <w:rFonts w:eastAsia="標楷體"/>
        </w:rPr>
        <w:t>112</w:t>
      </w:r>
      <w:proofErr w:type="gramEnd"/>
      <w:r w:rsidRPr="00364379">
        <w:rPr>
          <w:rFonts w:eastAsia="標楷體"/>
        </w:rPr>
        <w:t>年度「國際化之行政支持系統專章」辦理要點，針對入學後英語文能力須待提升之境外學生，提供英語文學習支援，以強化境外學生學習成效，訂定</w:t>
      </w:r>
      <w:r w:rsidRPr="00364379">
        <w:rPr>
          <w:rFonts w:eastAsia="標楷體"/>
          <w:bCs/>
        </w:rPr>
        <w:t>亞洲大學境外學生英語文能力加強班辦理要點</w:t>
      </w:r>
      <w:r w:rsidRPr="00364379">
        <w:rPr>
          <w:rFonts w:eastAsia="標楷體"/>
        </w:rPr>
        <w:t>（以下簡稱本要點）。</w:t>
      </w:r>
      <w:r w:rsidRPr="00364379">
        <w:rPr>
          <w:rFonts w:eastAsia="標楷體"/>
        </w:rPr>
        <w:t xml:space="preserve"> </w:t>
      </w:r>
    </w:p>
    <w:p w:rsidR="00E83488" w:rsidRPr="00364379" w:rsidRDefault="00E83488" w:rsidP="00364379">
      <w:pPr>
        <w:ind w:leftChars="200" w:left="480"/>
        <w:rPr>
          <w:rFonts w:eastAsia="標楷體"/>
        </w:rPr>
      </w:pPr>
      <w:r w:rsidRPr="00364379">
        <w:rPr>
          <w:rFonts w:eastAsia="標楷體"/>
        </w:rPr>
        <w:t xml:space="preserve">In accordance with the Ministry of Education's (MOE, Taiwan) "Internationalization Administration Support System Special Chapter" issued in 2023, Asia University establishes these guidelines for managing the English language proficiency of our international students. </w:t>
      </w:r>
    </w:p>
    <w:p w:rsidR="00E83488" w:rsidRPr="00364379" w:rsidRDefault="00E83488" w:rsidP="00364379">
      <w:pPr>
        <w:ind w:left="480" w:hangingChars="200" w:hanging="480"/>
        <w:rPr>
          <w:rFonts w:eastAsia="標楷體"/>
        </w:rPr>
      </w:pPr>
      <w:r w:rsidRPr="00364379">
        <w:rPr>
          <w:rFonts w:eastAsia="標楷體"/>
        </w:rPr>
        <w:t>二、針對每年春季班和秋季班入學之境外學生，語文教學研究發展中心</w:t>
      </w:r>
      <w:r w:rsidRPr="00364379">
        <w:rPr>
          <w:rFonts w:eastAsia="標楷體"/>
        </w:rPr>
        <w:t>(</w:t>
      </w:r>
      <w:r w:rsidRPr="00364379">
        <w:rPr>
          <w:rFonts w:eastAsia="標楷體"/>
        </w:rPr>
        <w:t>以下簡稱本中心</w:t>
      </w:r>
      <w:r w:rsidRPr="00364379">
        <w:rPr>
          <w:rFonts w:eastAsia="標楷體"/>
        </w:rPr>
        <w:t>)</w:t>
      </w:r>
      <w:r w:rsidRPr="00364379">
        <w:rPr>
          <w:rFonts w:eastAsia="標楷體"/>
        </w:rPr>
        <w:t>得於入學時辦理英語文</w:t>
      </w:r>
      <w:proofErr w:type="gramStart"/>
      <w:r w:rsidRPr="00364379">
        <w:rPr>
          <w:rFonts w:eastAsia="標楷體"/>
        </w:rPr>
        <w:t>能力前測</w:t>
      </w:r>
      <w:proofErr w:type="gramEnd"/>
      <w:r w:rsidRPr="00364379">
        <w:rPr>
          <w:rFonts w:eastAsia="標楷體"/>
        </w:rPr>
        <w:t>，同時審核學生所提供之英檢能力證明，以確保學生英語文能力足以進行專業學習。</w:t>
      </w:r>
      <w:r w:rsidRPr="00364379">
        <w:rPr>
          <w:rFonts w:eastAsia="標楷體"/>
        </w:rPr>
        <w:t xml:space="preserve"> </w:t>
      </w:r>
    </w:p>
    <w:p w:rsidR="00E83488" w:rsidRPr="00364379" w:rsidRDefault="00E83488" w:rsidP="00AD64DB">
      <w:pPr>
        <w:ind w:leftChars="200" w:left="480"/>
        <w:rPr>
          <w:rFonts w:eastAsia="標楷體"/>
        </w:rPr>
      </w:pPr>
      <w:r w:rsidRPr="00364379">
        <w:rPr>
          <w:rFonts w:eastAsia="標楷體"/>
        </w:rPr>
        <w:t xml:space="preserve">The Center for the Development of Language Teaching and Research will conduct an English language proficiency pre-test for international students at the time of their enrollment per semester and will review the English language proficiency certificates provided by the students to assure their English suffices for academic study. </w:t>
      </w:r>
    </w:p>
    <w:p w:rsidR="00E83488" w:rsidRPr="00364379" w:rsidRDefault="00E83488" w:rsidP="00364379">
      <w:pPr>
        <w:ind w:left="480" w:hangingChars="200" w:hanging="480"/>
        <w:rPr>
          <w:rFonts w:eastAsia="標楷體"/>
        </w:rPr>
      </w:pPr>
      <w:r w:rsidRPr="00364379">
        <w:rPr>
          <w:rFonts w:eastAsia="標楷體"/>
        </w:rPr>
        <w:t>三、</w:t>
      </w:r>
      <w:proofErr w:type="gramStart"/>
      <w:r w:rsidRPr="00364379">
        <w:rPr>
          <w:rFonts w:eastAsia="標楷體"/>
        </w:rPr>
        <w:t>若學</w:t>
      </w:r>
      <w:proofErr w:type="gramEnd"/>
      <w:r w:rsidRPr="00364379">
        <w:rPr>
          <w:rFonts w:eastAsia="標楷體"/>
        </w:rPr>
        <w:t>生前測成績未達本校要求之入學門檻</w:t>
      </w:r>
      <w:r w:rsidRPr="00364379">
        <w:rPr>
          <w:rFonts w:eastAsia="標楷體"/>
        </w:rPr>
        <w:t>CEFR B1</w:t>
      </w:r>
      <w:r w:rsidRPr="00364379">
        <w:rPr>
          <w:rFonts w:eastAsia="標楷體"/>
        </w:rPr>
        <w:t>，或無法提出有效期限之英語文能力證明者，將安排於學期中參加英語文能力加強班。</w:t>
      </w:r>
      <w:r w:rsidRPr="00364379">
        <w:rPr>
          <w:rFonts w:eastAsia="標楷體"/>
        </w:rPr>
        <w:t xml:space="preserve"> </w:t>
      </w:r>
    </w:p>
    <w:p w:rsidR="00E83488" w:rsidRPr="00364379" w:rsidRDefault="00E83488" w:rsidP="00AD64DB">
      <w:pPr>
        <w:ind w:leftChars="200" w:left="480"/>
        <w:rPr>
          <w:rFonts w:eastAsia="標楷體"/>
        </w:rPr>
      </w:pPr>
      <w:r w:rsidRPr="00364379">
        <w:rPr>
          <w:rFonts w:eastAsia="標楷體"/>
        </w:rPr>
        <w:t>Students who do not achieve CEFR B1 on the pre-test or cannot provide valid English language proficiency certific</w:t>
      </w:r>
      <w:bookmarkStart w:id="0" w:name="_GoBack"/>
      <w:bookmarkEnd w:id="0"/>
      <w:r w:rsidRPr="00364379">
        <w:rPr>
          <w:rFonts w:eastAsia="標楷體"/>
        </w:rPr>
        <w:t xml:space="preserve">ates will be required to attend an Intensive English Program. </w:t>
      </w:r>
    </w:p>
    <w:p w:rsidR="00E83488" w:rsidRPr="00364379" w:rsidRDefault="00E83488" w:rsidP="00364379">
      <w:pPr>
        <w:ind w:left="480" w:hangingChars="200" w:hanging="480"/>
        <w:rPr>
          <w:rFonts w:eastAsia="標楷體"/>
        </w:rPr>
      </w:pPr>
      <w:r w:rsidRPr="00364379">
        <w:rPr>
          <w:rFonts w:eastAsia="標楷體"/>
        </w:rPr>
        <w:t>四、針對境外生英語文能力加強班，為確保學習成效，本中心將訂定管理機制如下：</w:t>
      </w:r>
      <w:r w:rsidRPr="00364379">
        <w:rPr>
          <w:rFonts w:eastAsia="標楷體"/>
        </w:rPr>
        <w:t xml:space="preserve"> </w:t>
      </w:r>
    </w:p>
    <w:p w:rsidR="00E83488" w:rsidRPr="00364379" w:rsidRDefault="00E83488" w:rsidP="00AD64DB">
      <w:pPr>
        <w:ind w:leftChars="200" w:left="902" w:hangingChars="176" w:hanging="422"/>
        <w:rPr>
          <w:rFonts w:eastAsia="標楷體"/>
        </w:rPr>
      </w:pPr>
      <w:r w:rsidRPr="00364379">
        <w:rPr>
          <w:rFonts w:eastAsia="標楷體"/>
        </w:rPr>
        <w:t xml:space="preserve">(1) </w:t>
      </w:r>
      <w:r w:rsidRPr="00364379">
        <w:rPr>
          <w:rFonts w:eastAsia="標楷體"/>
        </w:rPr>
        <w:t>參與者須每堂課程簽到，出席率需達</w:t>
      </w:r>
      <w:r w:rsidRPr="00364379">
        <w:rPr>
          <w:rFonts w:eastAsia="標楷體"/>
        </w:rPr>
        <w:t>75%</w:t>
      </w:r>
      <w:r w:rsidRPr="00364379">
        <w:rPr>
          <w:rFonts w:eastAsia="標楷體"/>
        </w:rPr>
        <w:t>以上。</w:t>
      </w:r>
      <w:r w:rsidRPr="00364379">
        <w:rPr>
          <w:rFonts w:eastAsia="標楷體"/>
        </w:rPr>
        <w:t xml:space="preserve"> </w:t>
      </w:r>
    </w:p>
    <w:p w:rsidR="00E83488" w:rsidRPr="00364379" w:rsidRDefault="00E83488" w:rsidP="00AD64DB">
      <w:pPr>
        <w:ind w:leftChars="200" w:left="902" w:hangingChars="176" w:hanging="422"/>
        <w:rPr>
          <w:rFonts w:eastAsia="標楷體"/>
        </w:rPr>
      </w:pPr>
      <w:r w:rsidRPr="00364379">
        <w:rPr>
          <w:rFonts w:eastAsia="標楷體"/>
        </w:rPr>
        <w:t xml:space="preserve">(2) </w:t>
      </w:r>
      <w:r w:rsidRPr="00364379">
        <w:rPr>
          <w:rFonts w:eastAsia="標楷體"/>
        </w:rPr>
        <w:t>參與者須於課程結束後，參加一次正式英語能力測驗。</w:t>
      </w:r>
      <w:r w:rsidRPr="00364379">
        <w:rPr>
          <w:rFonts w:eastAsia="標楷體"/>
        </w:rPr>
        <w:t xml:space="preserve"> </w:t>
      </w:r>
    </w:p>
    <w:p w:rsidR="00E83488" w:rsidRPr="00364379" w:rsidRDefault="00E83488" w:rsidP="00AD64DB">
      <w:pPr>
        <w:ind w:leftChars="200" w:left="902" w:hangingChars="176" w:hanging="422"/>
        <w:rPr>
          <w:rFonts w:eastAsia="標楷體"/>
        </w:rPr>
      </w:pPr>
      <w:r w:rsidRPr="00364379">
        <w:rPr>
          <w:rFonts w:eastAsia="標楷體"/>
        </w:rPr>
        <w:t xml:space="preserve">(3) </w:t>
      </w:r>
      <w:r w:rsidRPr="00364379">
        <w:rPr>
          <w:rFonts w:eastAsia="標楷體"/>
        </w:rPr>
        <w:t>參與者如於正式英語文能力測驗成績未達</w:t>
      </w:r>
      <w:r w:rsidRPr="00364379">
        <w:rPr>
          <w:rFonts w:eastAsia="標楷體"/>
        </w:rPr>
        <w:t>CEFR B1</w:t>
      </w:r>
      <w:r w:rsidRPr="00364379">
        <w:rPr>
          <w:rFonts w:eastAsia="標楷體"/>
        </w:rPr>
        <w:t>，需再參加加強班課程直到通過為止。</w:t>
      </w:r>
      <w:r w:rsidRPr="00364379">
        <w:rPr>
          <w:rFonts w:eastAsia="標楷體"/>
        </w:rPr>
        <w:t xml:space="preserve"> </w:t>
      </w:r>
    </w:p>
    <w:p w:rsidR="00E83488" w:rsidRPr="00364379" w:rsidRDefault="00E83488" w:rsidP="00AD64DB">
      <w:pPr>
        <w:ind w:leftChars="200" w:left="480"/>
        <w:rPr>
          <w:rFonts w:eastAsia="標楷體"/>
        </w:rPr>
      </w:pPr>
      <w:r w:rsidRPr="00364379">
        <w:rPr>
          <w:rFonts w:eastAsia="標楷體"/>
        </w:rPr>
        <w:t xml:space="preserve">The management of the English language proficiency enhancement class is as follows: </w:t>
      </w:r>
    </w:p>
    <w:p w:rsidR="00E83488" w:rsidRPr="00364379" w:rsidRDefault="00E83488" w:rsidP="00AD64DB">
      <w:pPr>
        <w:ind w:leftChars="200" w:left="814" w:hangingChars="139" w:hanging="334"/>
        <w:rPr>
          <w:rFonts w:eastAsia="標楷體"/>
        </w:rPr>
      </w:pPr>
      <w:r w:rsidRPr="00364379">
        <w:rPr>
          <w:rFonts w:eastAsia="標楷體"/>
        </w:rPr>
        <w:t xml:space="preserve">(1) Participants must sign in for each class and their attendance rate must be above 75% </w:t>
      </w:r>
    </w:p>
    <w:p w:rsidR="00E83488" w:rsidRPr="00364379" w:rsidRDefault="00E83488" w:rsidP="00AD64DB">
      <w:pPr>
        <w:ind w:leftChars="200" w:left="814" w:hangingChars="139" w:hanging="334"/>
        <w:rPr>
          <w:rFonts w:eastAsia="標楷體"/>
        </w:rPr>
      </w:pPr>
      <w:r w:rsidRPr="00364379">
        <w:rPr>
          <w:rFonts w:eastAsia="標楷體"/>
        </w:rPr>
        <w:t xml:space="preserve">(2) Participants must take a formal English proficiency test after the course ends. </w:t>
      </w:r>
    </w:p>
    <w:p w:rsidR="00E83488" w:rsidRPr="00364379" w:rsidRDefault="00E83488" w:rsidP="00AD64DB">
      <w:pPr>
        <w:ind w:leftChars="200" w:left="814" w:hangingChars="139" w:hanging="334"/>
        <w:rPr>
          <w:rFonts w:eastAsia="標楷體"/>
        </w:rPr>
      </w:pPr>
      <w:r w:rsidRPr="00364379">
        <w:rPr>
          <w:rFonts w:eastAsia="標楷體"/>
        </w:rPr>
        <w:t xml:space="preserve">(3) Participants who do not achieve CEFR B1 on the formal English language proficiency test will need to retake the course until they pass. </w:t>
      </w:r>
    </w:p>
    <w:p w:rsidR="00E83488" w:rsidRPr="00364379" w:rsidRDefault="00E83488" w:rsidP="00364379">
      <w:pPr>
        <w:pStyle w:val="a3"/>
        <w:numPr>
          <w:ilvl w:val="0"/>
          <w:numId w:val="1"/>
        </w:numPr>
        <w:ind w:leftChars="0" w:hangingChars="200"/>
        <w:rPr>
          <w:rFonts w:eastAsia="標楷體"/>
          <w:kern w:val="2"/>
          <w:sz w:val="24"/>
          <w:lang w:val="en-US" w:eastAsia="zh-TW"/>
        </w:rPr>
      </w:pPr>
      <w:r w:rsidRPr="00364379">
        <w:rPr>
          <w:rFonts w:eastAsia="標楷體"/>
          <w:kern w:val="2"/>
          <w:sz w:val="24"/>
          <w:lang w:val="en-US" w:eastAsia="zh-TW"/>
        </w:rPr>
        <w:t>課程結束後，由本中心檢附授課教師實際之授課時數，送國際學院辦理支給事宜，所需經費擬由「國際化之行政支持系統專章」預算內支應，核定預算每學年機動調整之。</w:t>
      </w:r>
      <w:r w:rsidRPr="00364379">
        <w:rPr>
          <w:rFonts w:eastAsia="標楷體"/>
          <w:kern w:val="2"/>
          <w:sz w:val="24"/>
          <w:lang w:val="en-US" w:eastAsia="zh-TW"/>
        </w:rPr>
        <w:t xml:space="preserve"> </w:t>
      </w:r>
    </w:p>
    <w:p w:rsidR="00E83488" w:rsidRPr="00364379" w:rsidRDefault="00E83488" w:rsidP="00AD64DB">
      <w:pPr>
        <w:ind w:leftChars="200" w:left="480"/>
        <w:rPr>
          <w:rFonts w:eastAsia="標楷體"/>
        </w:rPr>
      </w:pPr>
      <w:r w:rsidRPr="00364379">
        <w:rPr>
          <w:rFonts w:eastAsia="標楷體"/>
        </w:rPr>
        <w:t xml:space="preserve">After the course concludes, the Center for the Development of Language Teaching and Research will provide the actual teaching hours of the instructors to the International College for funding purposes with the necessary funds to be allocated within the budget of the " Internationalization Administration Support System Special Chapter." Budgets shall be handled in accordance with the provisions of these guidelines </w:t>
      </w:r>
    </w:p>
    <w:p w:rsidR="00E83488" w:rsidRPr="00364379" w:rsidRDefault="00E83488" w:rsidP="00364379">
      <w:pPr>
        <w:pStyle w:val="a3"/>
        <w:numPr>
          <w:ilvl w:val="0"/>
          <w:numId w:val="1"/>
        </w:numPr>
        <w:ind w:leftChars="0" w:hangingChars="200"/>
        <w:rPr>
          <w:rFonts w:eastAsia="標楷體"/>
          <w:kern w:val="2"/>
          <w:sz w:val="24"/>
          <w:lang w:val="en-US" w:eastAsia="zh-TW"/>
        </w:rPr>
      </w:pPr>
      <w:r w:rsidRPr="00364379">
        <w:rPr>
          <w:rFonts w:eastAsia="標楷體"/>
          <w:kern w:val="2"/>
          <w:sz w:val="24"/>
          <w:lang w:val="en-US" w:eastAsia="zh-TW"/>
        </w:rPr>
        <w:t>本要點如有未盡事宜，適用本校相關規定辦理。</w:t>
      </w:r>
      <w:r w:rsidRPr="00364379">
        <w:rPr>
          <w:rFonts w:eastAsia="標楷體"/>
          <w:kern w:val="2"/>
          <w:sz w:val="24"/>
          <w:lang w:val="en-US" w:eastAsia="zh-TW"/>
        </w:rPr>
        <w:t xml:space="preserve"> </w:t>
      </w:r>
    </w:p>
    <w:p w:rsidR="00E83488" w:rsidRPr="00364379" w:rsidRDefault="00E83488" w:rsidP="00AD64DB">
      <w:pPr>
        <w:ind w:leftChars="200" w:left="480"/>
        <w:rPr>
          <w:rFonts w:eastAsia="標楷體"/>
        </w:rPr>
      </w:pPr>
      <w:r w:rsidRPr="00364379">
        <w:rPr>
          <w:rFonts w:eastAsia="標楷體"/>
        </w:rPr>
        <w:lastRenderedPageBreak/>
        <w:t xml:space="preserve">For matters not covered by these guidelines, the relevant rules and regulations of the school shall apply. </w:t>
      </w:r>
    </w:p>
    <w:p w:rsidR="00E83488" w:rsidRPr="00364379" w:rsidRDefault="00E83488" w:rsidP="00364379">
      <w:pPr>
        <w:pStyle w:val="a3"/>
        <w:numPr>
          <w:ilvl w:val="0"/>
          <w:numId w:val="1"/>
        </w:numPr>
        <w:ind w:leftChars="0" w:hangingChars="200"/>
        <w:rPr>
          <w:rFonts w:eastAsia="標楷體"/>
          <w:kern w:val="2"/>
          <w:sz w:val="24"/>
          <w:lang w:val="en-US" w:eastAsia="zh-TW"/>
        </w:rPr>
      </w:pPr>
      <w:r w:rsidRPr="00364379">
        <w:rPr>
          <w:rFonts w:eastAsia="標楷體"/>
          <w:kern w:val="2"/>
          <w:sz w:val="24"/>
          <w:lang w:val="en-US" w:eastAsia="zh-TW"/>
        </w:rPr>
        <w:t>本要點經行政會議通過，陳請校長核定後公布施行，修正時亦同。</w:t>
      </w:r>
      <w:r w:rsidRPr="00364379">
        <w:rPr>
          <w:rFonts w:eastAsia="標楷體"/>
          <w:kern w:val="2"/>
          <w:sz w:val="24"/>
          <w:lang w:val="en-US" w:eastAsia="zh-TW"/>
        </w:rPr>
        <w:t xml:space="preserve"> </w:t>
      </w:r>
    </w:p>
    <w:p w:rsidR="00E83488" w:rsidRPr="00364379" w:rsidRDefault="00E83488" w:rsidP="00AD64DB">
      <w:pPr>
        <w:ind w:leftChars="200" w:left="480"/>
        <w:rPr>
          <w:rFonts w:eastAsia="標楷體"/>
        </w:rPr>
      </w:pPr>
      <w:r w:rsidRPr="00364379">
        <w:rPr>
          <w:rFonts w:eastAsia="標楷體"/>
        </w:rPr>
        <w:t xml:space="preserve">These guidelines have been approved by the administrative council and, upon the president's approval, will be publicly implemented. Any amendments will follow the same procedure. </w:t>
      </w:r>
    </w:p>
    <w:p w:rsidR="00E83488" w:rsidRPr="00364379" w:rsidRDefault="00E83488" w:rsidP="00E83488">
      <w:pPr>
        <w:rPr>
          <w:rFonts w:eastAsia="標楷體"/>
        </w:rPr>
      </w:pPr>
      <w:r w:rsidRPr="00364379">
        <w:rPr>
          <w:rFonts w:eastAsia="標楷體"/>
        </w:rPr>
        <w:t xml:space="preserve"> </w:t>
      </w:r>
    </w:p>
    <w:p w:rsidR="00E83488" w:rsidRPr="00364379" w:rsidRDefault="00E83488" w:rsidP="00E83488">
      <w:pPr>
        <w:widowControl/>
        <w:rPr>
          <w:rFonts w:eastAsia="標楷體"/>
          <w:b/>
          <w:bCs/>
          <w:sz w:val="28"/>
          <w:szCs w:val="22"/>
          <w:bdr w:val="single" w:sz="4" w:space="0" w:color="auto"/>
          <w:lang w:val="x-none" w:eastAsia="x-none"/>
        </w:rPr>
      </w:pPr>
    </w:p>
    <w:p w:rsidR="00AD0691" w:rsidRPr="00364379" w:rsidRDefault="00AD0691">
      <w:pPr>
        <w:rPr>
          <w:rFonts w:eastAsia="標楷體"/>
        </w:rPr>
      </w:pPr>
    </w:p>
    <w:sectPr w:rsidR="00AD0691" w:rsidRPr="00364379" w:rsidSect="00E83488">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7C89" w:rsidRDefault="00C67C89" w:rsidP="00E011E4">
      <w:r>
        <w:separator/>
      </w:r>
    </w:p>
  </w:endnote>
  <w:endnote w:type="continuationSeparator" w:id="0">
    <w:p w:rsidR="00C67C89" w:rsidRDefault="00C67C89" w:rsidP="00E01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7C89" w:rsidRDefault="00C67C89" w:rsidP="00E011E4">
      <w:r>
        <w:separator/>
      </w:r>
    </w:p>
  </w:footnote>
  <w:footnote w:type="continuationSeparator" w:id="0">
    <w:p w:rsidR="00C67C89" w:rsidRDefault="00C67C89" w:rsidP="00E011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CC406B"/>
    <w:multiLevelType w:val="hybridMultilevel"/>
    <w:tmpl w:val="76E4867C"/>
    <w:lvl w:ilvl="0" w:tplc="BFE8974C">
      <w:start w:val="5"/>
      <w:numFmt w:val="taiwaneseCountingThousand"/>
      <w:lvlText w:val="%1、"/>
      <w:lvlJc w:val="left"/>
      <w:pPr>
        <w:ind w:left="480" w:hanging="480"/>
      </w:pPr>
      <w:rPr>
        <w:rFonts w:ascii="標楷體" w:eastAsia="標楷體" w:hAnsi="標楷體"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488"/>
    <w:rsid w:val="001B0E6A"/>
    <w:rsid w:val="002D2167"/>
    <w:rsid w:val="00364379"/>
    <w:rsid w:val="00A30051"/>
    <w:rsid w:val="00AD0691"/>
    <w:rsid w:val="00AD64DB"/>
    <w:rsid w:val="00C27E2C"/>
    <w:rsid w:val="00C67C89"/>
    <w:rsid w:val="00CA7C62"/>
    <w:rsid w:val="00E011E4"/>
    <w:rsid w:val="00E8348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F1ACA3"/>
  <w15:chartTrackingRefBased/>
  <w15:docId w15:val="{6EE22A48-EC3D-47D2-B235-A5C251CE3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83488"/>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卑南壹,標1,(一),(1)(1)(1)(1)(1)(1)(1)(1),網推會說明清單,附錄1,1.2.3.,壹_二階,List Paragraph1,12 20,標11,標12,標題 (4),1.1.1.1清單段落,列點,(二),貿易局(一),Recommendation,Footnote Sam,List Paragraph (numbered (a)),Text,Noise heading,RUS List,Rec para,Dot pt,Noise h,List Paragraph"/>
    <w:basedOn w:val="a"/>
    <w:link w:val="a4"/>
    <w:uiPriority w:val="34"/>
    <w:qFormat/>
    <w:rsid w:val="00E83488"/>
    <w:pPr>
      <w:ind w:leftChars="200" w:left="480"/>
    </w:pPr>
    <w:rPr>
      <w:kern w:val="0"/>
      <w:sz w:val="20"/>
      <w:lang w:val="x-none" w:eastAsia="x-none"/>
    </w:rPr>
  </w:style>
  <w:style w:type="character" w:customStyle="1" w:styleId="a4">
    <w:name w:val="清單段落 字元"/>
    <w:aliases w:val="卑南壹 字元,標1 字元,(一) 字元,(1)(1)(1)(1)(1)(1)(1)(1) 字元,網推會說明清單 字元,附錄1 字元,1.2.3. 字元,壹_二階 字元,List Paragraph1 字元,12 20 字元,標11 字元,標12 字元,標題 (4) 字元,1.1.1.1清單段落 字元,列點 字元,(二) 字元,貿易局(一) 字元,Recommendation 字元,Footnote Sam 字元,List Paragraph (numbered (a)) 字元"/>
    <w:link w:val="a3"/>
    <w:uiPriority w:val="34"/>
    <w:qFormat/>
    <w:locked/>
    <w:rsid w:val="00E83488"/>
    <w:rPr>
      <w:rFonts w:ascii="Times New Roman" w:eastAsia="新細明體" w:hAnsi="Times New Roman" w:cs="Times New Roman"/>
      <w:kern w:val="0"/>
      <w:sz w:val="20"/>
      <w:szCs w:val="24"/>
      <w:lang w:val="x-none" w:eastAsia="x-none"/>
    </w:rPr>
  </w:style>
  <w:style w:type="paragraph" w:customStyle="1" w:styleId="2-">
    <w:name w:val="樣式2-案由"/>
    <w:basedOn w:val="a"/>
    <w:link w:val="2-0"/>
    <w:qFormat/>
    <w:rsid w:val="00E83488"/>
    <w:pPr>
      <w:snapToGrid w:val="0"/>
      <w:ind w:leftChars="233" w:left="2129" w:hangingChars="560" w:hanging="1570"/>
      <w:jc w:val="both"/>
      <w:outlineLvl w:val="0"/>
    </w:pPr>
    <w:rPr>
      <w:rFonts w:ascii="Arial" w:eastAsia="標楷體" w:hAnsi="Arial"/>
      <w:b/>
      <w:bCs/>
      <w:sz w:val="28"/>
      <w:szCs w:val="22"/>
      <w:lang w:val="x-none" w:eastAsia="x-none"/>
    </w:rPr>
  </w:style>
  <w:style w:type="character" w:customStyle="1" w:styleId="2-0">
    <w:name w:val="樣式2-案由 字元"/>
    <w:link w:val="2-"/>
    <w:rsid w:val="00E83488"/>
    <w:rPr>
      <w:rFonts w:ascii="Arial" w:eastAsia="標楷體" w:hAnsi="Arial" w:cs="Times New Roman"/>
      <w:b/>
      <w:bCs/>
      <w:sz w:val="28"/>
      <w:lang w:val="x-none" w:eastAsia="x-none"/>
    </w:rPr>
  </w:style>
  <w:style w:type="table" w:styleId="1-1">
    <w:name w:val="Grid Table 1 Light Accent 1"/>
    <w:basedOn w:val="a1"/>
    <w:uiPriority w:val="46"/>
    <w:rsid w:val="00E83488"/>
    <w:rPr>
      <w:rFonts w:ascii="Times New Roman" w:eastAsia="新細明體" w:hAnsi="Times New Roman" w:cs="Times New Roman"/>
      <w:kern w:val="0"/>
      <w:sz w:val="20"/>
      <w:szCs w:val="20"/>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a5">
    <w:name w:val="header"/>
    <w:basedOn w:val="a"/>
    <w:link w:val="a6"/>
    <w:uiPriority w:val="99"/>
    <w:unhideWhenUsed/>
    <w:rsid w:val="00E011E4"/>
    <w:pPr>
      <w:tabs>
        <w:tab w:val="center" w:pos="4153"/>
        <w:tab w:val="right" w:pos="8306"/>
      </w:tabs>
      <w:snapToGrid w:val="0"/>
    </w:pPr>
    <w:rPr>
      <w:sz w:val="20"/>
      <w:szCs w:val="20"/>
    </w:rPr>
  </w:style>
  <w:style w:type="character" w:customStyle="1" w:styleId="a6">
    <w:name w:val="頁首 字元"/>
    <w:basedOn w:val="a0"/>
    <w:link w:val="a5"/>
    <w:uiPriority w:val="99"/>
    <w:rsid w:val="00E011E4"/>
    <w:rPr>
      <w:rFonts w:ascii="Times New Roman" w:eastAsia="新細明體" w:hAnsi="Times New Roman" w:cs="Times New Roman"/>
      <w:sz w:val="20"/>
      <w:szCs w:val="20"/>
    </w:rPr>
  </w:style>
  <w:style w:type="paragraph" w:styleId="a7">
    <w:name w:val="footer"/>
    <w:basedOn w:val="a"/>
    <w:link w:val="a8"/>
    <w:uiPriority w:val="99"/>
    <w:unhideWhenUsed/>
    <w:rsid w:val="00E011E4"/>
    <w:pPr>
      <w:tabs>
        <w:tab w:val="center" w:pos="4153"/>
        <w:tab w:val="right" w:pos="8306"/>
      </w:tabs>
      <w:snapToGrid w:val="0"/>
    </w:pPr>
    <w:rPr>
      <w:sz w:val="20"/>
      <w:szCs w:val="20"/>
    </w:rPr>
  </w:style>
  <w:style w:type="character" w:customStyle="1" w:styleId="a8">
    <w:name w:val="頁尾 字元"/>
    <w:basedOn w:val="a0"/>
    <w:link w:val="a7"/>
    <w:uiPriority w:val="99"/>
    <w:rsid w:val="00E011E4"/>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D348C5-22EF-4F84-8F54-D4406D987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384</Words>
  <Characters>2195</Characters>
  <Application>Microsoft Office Word</Application>
  <DocSecurity>0</DocSecurity>
  <Lines>18</Lines>
  <Paragraphs>5</Paragraphs>
  <ScaleCrop>false</ScaleCrop>
  <Company>亞洲大學 Asia University</Company>
  <LinksUpToDate>false</LinksUpToDate>
  <CharactersWithSpaces>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張曉芸</dc:creator>
  <cp:keywords/>
  <dc:description/>
  <cp:lastModifiedBy>王維琤</cp:lastModifiedBy>
  <cp:revision>4</cp:revision>
  <cp:lastPrinted>2023-10-18T03:50:00Z</cp:lastPrinted>
  <dcterms:created xsi:type="dcterms:W3CDTF">2023-11-02T06:24:00Z</dcterms:created>
  <dcterms:modified xsi:type="dcterms:W3CDTF">2023-11-02T06:49:00Z</dcterms:modified>
</cp:coreProperties>
</file>